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B4" w:rsidRPr="00E622B4" w:rsidRDefault="00E622B4" w:rsidP="00E622B4"/>
    <w:p w:rsidR="00E622B4" w:rsidRDefault="00E622B4" w:rsidP="00E622B4">
      <w:pPr>
        <w:pStyle w:val="Titre"/>
        <w:pBdr>
          <w:bottom w:val="single" w:sz="4" w:space="4" w:color="auto"/>
        </w:pBdr>
        <w:jc w:val="center"/>
        <w:rPr>
          <w:rFonts w:asciiTheme="minorHAnsi" w:hAnsiTheme="minorHAnsi"/>
          <w:color w:val="C00000"/>
          <w:sz w:val="32"/>
        </w:rPr>
      </w:pPr>
      <w:r>
        <w:rPr>
          <w:rFonts w:asciiTheme="minorHAnsi" w:hAnsiTheme="minorHAnsi"/>
          <w:color w:val="C00000"/>
          <w:sz w:val="48"/>
          <w:szCs w:val="48"/>
        </w:rPr>
        <w:t>Personnes ressources</w:t>
      </w:r>
      <w:r>
        <w:rPr>
          <w:rFonts w:asciiTheme="minorHAnsi" w:hAnsiTheme="minorHAnsi"/>
          <w:color w:val="C00000"/>
          <w:sz w:val="48"/>
          <w:szCs w:val="48"/>
        </w:rPr>
        <w:br/>
      </w:r>
      <w:r w:rsidRPr="00E622B4">
        <w:rPr>
          <w:rFonts w:asciiTheme="minorHAnsi" w:hAnsiTheme="minorHAnsi"/>
          <w:color w:val="C00000"/>
          <w:sz w:val="30"/>
          <w:szCs w:val="30"/>
        </w:rPr>
        <w:t>Plan de formation 2015-2017</w:t>
      </w:r>
    </w:p>
    <w:p w:rsidR="00E622B4" w:rsidRPr="00E622B4" w:rsidRDefault="00E622B4" w:rsidP="00E622B4"/>
    <w:p w:rsidR="00E622B4" w:rsidRPr="003B768C" w:rsidRDefault="008D78E5" w:rsidP="00E622B4">
      <w:pPr>
        <w:pStyle w:val="Titre"/>
        <w:numPr>
          <w:ilvl w:val="0"/>
          <w:numId w:val="7"/>
        </w:numPr>
        <w:pBdr>
          <w:bottom w:val="single" w:sz="4" w:space="7" w:color="auto"/>
        </w:pBdr>
        <w:rPr>
          <w:rFonts w:asciiTheme="minorHAnsi" w:hAnsiTheme="minorHAnsi"/>
          <w:color w:val="C00000"/>
          <w:sz w:val="32"/>
        </w:rPr>
      </w:pPr>
      <w:r>
        <w:rPr>
          <w:rFonts w:asciiTheme="minorHAnsi" w:hAnsiTheme="minorHAnsi"/>
          <w:color w:val="C00000"/>
          <w:sz w:val="32"/>
        </w:rPr>
        <w:t>Une « personne ressource</w:t>
      </w:r>
      <w:r w:rsidR="004A60BE">
        <w:rPr>
          <w:rFonts w:asciiTheme="minorHAnsi" w:hAnsiTheme="minorHAnsi"/>
          <w:color w:val="C00000"/>
          <w:sz w:val="32"/>
        </w:rPr>
        <w:t> », c’est quoi ?</w:t>
      </w:r>
    </w:p>
    <w:p w:rsidR="004A60BE" w:rsidRDefault="004A60BE" w:rsidP="00F1331B">
      <w:pPr>
        <w:ind w:firstLine="567"/>
        <w:jc w:val="both"/>
      </w:pPr>
      <w:r>
        <w:t xml:space="preserve">Les </w:t>
      </w:r>
      <w:r w:rsidRPr="00F1331B">
        <w:rPr>
          <w:b/>
        </w:rPr>
        <w:t>« personnes ressources »</w:t>
      </w:r>
      <w:r>
        <w:t xml:space="preserve"> sont des travailleurs de l’</w:t>
      </w:r>
      <w:proofErr w:type="spellStart"/>
      <w:r>
        <w:t>Apef</w:t>
      </w:r>
      <w:proofErr w:type="spellEnd"/>
      <w:r>
        <w:t xml:space="preserve"> disposés à répondre aux questions de leurs collègues</w:t>
      </w:r>
      <w:r w:rsidR="00646BC5">
        <w:t xml:space="preserve"> portant sur des</w:t>
      </w:r>
      <w:r>
        <w:t xml:space="preserve"> compétences qu’ils maîtrisent.  Ainsi, une liste des personnes ressources a été éditée (sur base volontaire) pour diverses compétences</w:t>
      </w:r>
      <w:r w:rsidR="00F1331B">
        <w:t xml:space="preserve"> (</w:t>
      </w:r>
      <w:proofErr w:type="spellStart"/>
      <w:r w:rsidR="00F1331B">
        <w:t>cfr</w:t>
      </w:r>
      <w:proofErr w:type="spellEnd"/>
      <w:r w:rsidR="00F1331B">
        <w:t>. ci-dessous).</w:t>
      </w:r>
    </w:p>
    <w:p w:rsidR="0093218D" w:rsidRPr="00C80397" w:rsidRDefault="0093218D" w:rsidP="0093218D">
      <w:pPr>
        <w:ind w:firstLine="567"/>
        <w:jc w:val="both"/>
      </w:pPr>
      <w:r w:rsidRPr="00C80397">
        <w:t xml:space="preserve">Nous vous conseillons de ne pas établir de contrainte en ce qui concerne le </w:t>
      </w:r>
      <w:r w:rsidRPr="0093218D">
        <w:t>temps de travail</w:t>
      </w:r>
      <w:r w:rsidRPr="00C80397">
        <w:t xml:space="preserve"> de la personne ressource.  Il est important de laisser la personne libre de fixer ses propres limites en fonction de ses disponibilités.</w:t>
      </w:r>
    </w:p>
    <w:p w:rsidR="004A60BE" w:rsidRDefault="00F1331B" w:rsidP="00F1331B">
      <w:pPr>
        <w:ind w:firstLine="567"/>
        <w:jc w:val="both"/>
      </w:pPr>
      <w:r w:rsidRPr="00F1331B">
        <w:rPr>
          <w:b/>
        </w:rPr>
        <w:t>Dans le cas de demandes exigeant un temps de travail trop important</w:t>
      </w:r>
      <w:r w:rsidRPr="004D4E34">
        <w:t>,</w:t>
      </w:r>
      <w:r w:rsidRPr="00F1331B">
        <w:t xml:space="preserve"> il est demandé à la personne ressource d’en informer le référent formation.</w:t>
      </w:r>
      <w:r>
        <w:t xml:space="preserve">  D’autres actions pourront alors être mises </w:t>
      </w:r>
      <w:proofErr w:type="gramStart"/>
      <w:r>
        <w:t>en</w:t>
      </w:r>
      <w:proofErr w:type="gramEnd"/>
      <w:r>
        <w:t xml:space="preserve"> place afin de répondre aux demandes (formations, Midis de l’</w:t>
      </w:r>
      <w:proofErr w:type="spellStart"/>
      <w:r>
        <w:t>Apef</w:t>
      </w:r>
      <w:proofErr w:type="spellEnd"/>
      <w:r>
        <w:t>…).</w:t>
      </w:r>
    </w:p>
    <w:p w:rsidR="00E622B4" w:rsidRPr="00E622B4" w:rsidRDefault="00E622B4" w:rsidP="00E622B4"/>
    <w:p w:rsidR="00E622B4" w:rsidRDefault="00E622B4" w:rsidP="00E622B4">
      <w:pPr>
        <w:pStyle w:val="Titre"/>
        <w:numPr>
          <w:ilvl w:val="0"/>
          <w:numId w:val="7"/>
        </w:numPr>
        <w:pBdr>
          <w:bottom w:val="single" w:sz="4" w:space="4" w:color="auto"/>
        </w:pBdr>
        <w:rPr>
          <w:rFonts w:asciiTheme="minorHAnsi" w:hAnsiTheme="minorHAnsi"/>
          <w:color w:val="C00000"/>
          <w:sz w:val="32"/>
        </w:rPr>
      </w:pPr>
      <w:r>
        <w:rPr>
          <w:rFonts w:asciiTheme="minorHAnsi" w:hAnsiTheme="minorHAnsi"/>
          <w:color w:val="C00000"/>
          <w:sz w:val="32"/>
        </w:rPr>
        <w:t>Comment faire appel aux personnes ressources ?</w:t>
      </w:r>
    </w:p>
    <w:p w:rsidR="004A01B0" w:rsidRDefault="004A01B0" w:rsidP="004A01B0">
      <w:pPr>
        <w:ind w:firstLine="567"/>
        <w:jc w:val="both"/>
      </w:pPr>
      <w:r>
        <w:t>Vous vous posez une question en lien avec une compétence reprise dans la liste ci-dessous ?  Prenez contact avec la personne ressource liée à cette compétence.</w:t>
      </w:r>
      <w:r w:rsidR="005C5C17">
        <w:rPr>
          <w:rStyle w:val="Appelnotedebasdep"/>
        </w:rPr>
        <w:footnoteReference w:id="1"/>
      </w:r>
    </w:p>
    <w:p w:rsidR="004A01B0" w:rsidRDefault="004A01B0" w:rsidP="004A01B0">
      <w:pPr>
        <w:ind w:firstLine="567"/>
        <w:jc w:val="both"/>
      </w:pPr>
      <w:r>
        <w:t>Tous les problèmes rencontrés ne pourron</w:t>
      </w:r>
      <w:bookmarkStart w:id="0" w:name="_GoBack"/>
      <w:bookmarkEnd w:id="0"/>
      <w:r>
        <w:t>t être résolus par la personne ressource que vous avez contactée.  Si vous considé</w:t>
      </w:r>
      <w:r w:rsidR="004D4E34">
        <w:t>rez que votre besoin demande</w:t>
      </w:r>
      <w:r>
        <w:t xml:space="preserve"> un apprentissage plus conséquent, n’hésitez pas à en parler à une personne du groupe de pilotage du plan de formation</w:t>
      </w:r>
      <w:r w:rsidR="00C00035">
        <w:t xml:space="preserve"> et/ou à votre responsable</w:t>
      </w:r>
      <w:r>
        <w:t>.  D’autres actions pourront alors vous être proposées afin de répondre à vos demandes (formations, Midis de l’</w:t>
      </w:r>
      <w:proofErr w:type="spellStart"/>
      <w:r>
        <w:t>Apef</w:t>
      </w:r>
      <w:proofErr w:type="spellEnd"/>
      <w:r>
        <w:t>…).</w:t>
      </w:r>
    </w:p>
    <w:p w:rsidR="00F1331B" w:rsidRPr="004A60BE" w:rsidRDefault="00F1331B" w:rsidP="004A60BE"/>
    <w:p w:rsidR="004A60BE" w:rsidRDefault="004A60BE" w:rsidP="004A60BE">
      <w:pPr>
        <w:pStyle w:val="Titre"/>
        <w:numPr>
          <w:ilvl w:val="0"/>
          <w:numId w:val="7"/>
        </w:numPr>
        <w:pBdr>
          <w:bottom w:val="single" w:sz="4" w:space="4" w:color="auto"/>
        </w:pBdr>
        <w:rPr>
          <w:rFonts w:asciiTheme="minorHAnsi" w:hAnsiTheme="minorHAnsi"/>
          <w:color w:val="C00000"/>
          <w:sz w:val="32"/>
        </w:rPr>
      </w:pPr>
      <w:r>
        <w:rPr>
          <w:rFonts w:asciiTheme="minorHAnsi" w:hAnsiTheme="minorHAnsi"/>
          <w:color w:val="C00000"/>
          <w:sz w:val="32"/>
        </w:rPr>
        <w:t>Comment devenir une personne ressource ?</w:t>
      </w:r>
    </w:p>
    <w:p w:rsidR="00E622B4" w:rsidRDefault="009A2795" w:rsidP="005C5C17">
      <w:pPr>
        <w:ind w:firstLine="567"/>
        <w:jc w:val="both"/>
      </w:pPr>
      <w:r>
        <w:t>Vous souhait</w:t>
      </w:r>
      <w:r w:rsidR="004A01B0">
        <w:t>ez mettre certaines de vos compétences au service de vos collègues ?</w:t>
      </w:r>
      <w:r w:rsidR="009B1957">
        <w:t xml:space="preserve">  La compétence que vous seriez à même de partager ne se trouve pas dans la liste reprise ci-dessous ?</w:t>
      </w:r>
      <w:r w:rsidR="004A01B0">
        <w:t xml:space="preserve">  N’hésitez pas à prendre contact avec </w:t>
      </w:r>
      <w:r w:rsidR="004A01B0" w:rsidRPr="00FE160C">
        <w:t>le référent formation</w:t>
      </w:r>
      <w:r w:rsidR="009B1957">
        <w:t>.</w:t>
      </w:r>
    </w:p>
    <w:p w:rsidR="00582655" w:rsidRPr="005C5C17" w:rsidRDefault="00582655" w:rsidP="005C5C17">
      <w:pPr>
        <w:ind w:firstLine="567"/>
        <w:jc w:val="both"/>
      </w:pPr>
    </w:p>
    <w:p w:rsidR="004A01B0" w:rsidRPr="00946B2B" w:rsidRDefault="004A01B0" w:rsidP="00946B2B">
      <w:pPr>
        <w:pStyle w:val="Titre"/>
        <w:numPr>
          <w:ilvl w:val="0"/>
          <w:numId w:val="7"/>
        </w:numPr>
        <w:pBdr>
          <w:bottom w:val="single" w:sz="4" w:space="4" w:color="auto"/>
        </w:pBdr>
        <w:rPr>
          <w:rFonts w:asciiTheme="minorHAnsi" w:hAnsiTheme="minorHAnsi"/>
          <w:color w:val="C00000"/>
          <w:sz w:val="32"/>
        </w:rPr>
      </w:pPr>
      <w:r>
        <w:rPr>
          <w:rFonts w:asciiTheme="minorHAnsi" w:hAnsiTheme="minorHAnsi"/>
          <w:color w:val="C00000"/>
          <w:sz w:val="32"/>
        </w:rPr>
        <w:t>Liste des personnes ressources</w:t>
      </w:r>
    </w:p>
    <w:tbl>
      <w:tblPr>
        <w:tblStyle w:val="Grilledutableau"/>
        <w:tblW w:w="10774" w:type="dxa"/>
        <w:tblInd w:w="-601" w:type="dxa"/>
        <w:tblLook w:val="04A0" w:firstRow="1" w:lastRow="0" w:firstColumn="1" w:lastColumn="0" w:noHBand="0" w:noVBand="1"/>
      </w:tblPr>
      <w:tblGrid>
        <w:gridCol w:w="3261"/>
        <w:gridCol w:w="2693"/>
        <w:gridCol w:w="4820"/>
      </w:tblGrid>
      <w:tr w:rsidR="005C5C17" w:rsidTr="002C3C4E">
        <w:trPr>
          <w:trHeight w:val="632"/>
        </w:trPr>
        <w:tc>
          <w:tcPr>
            <w:tcW w:w="3261" w:type="dxa"/>
            <w:shd w:val="pct15" w:color="auto" w:fill="auto"/>
            <w:vAlign w:val="center"/>
          </w:tcPr>
          <w:p w:rsidR="005C5C17" w:rsidRPr="005C5C17" w:rsidRDefault="005C5C17" w:rsidP="00030788">
            <w:pPr>
              <w:jc w:val="center"/>
              <w:rPr>
                <w:b/>
              </w:rPr>
            </w:pPr>
            <w:r>
              <w:rPr>
                <w:b/>
              </w:rPr>
              <w:t>Compétences</w:t>
            </w:r>
          </w:p>
        </w:tc>
        <w:tc>
          <w:tcPr>
            <w:tcW w:w="2693" w:type="dxa"/>
            <w:shd w:val="pct15" w:color="auto" w:fill="auto"/>
            <w:vAlign w:val="center"/>
          </w:tcPr>
          <w:p w:rsidR="005C5C17" w:rsidRPr="005C5C17" w:rsidRDefault="005C5C17" w:rsidP="00030788">
            <w:pPr>
              <w:jc w:val="center"/>
              <w:rPr>
                <w:b/>
              </w:rPr>
            </w:pPr>
            <w:r>
              <w:rPr>
                <w:b/>
              </w:rPr>
              <w:t>Personnes ressources</w:t>
            </w:r>
          </w:p>
        </w:tc>
        <w:tc>
          <w:tcPr>
            <w:tcW w:w="4820" w:type="dxa"/>
            <w:shd w:val="pct15" w:color="auto" w:fill="auto"/>
            <w:vAlign w:val="center"/>
          </w:tcPr>
          <w:p w:rsidR="005C5C17" w:rsidRPr="005C5C17" w:rsidRDefault="005C5C17" w:rsidP="00030788">
            <w:pPr>
              <w:jc w:val="center"/>
              <w:rPr>
                <w:b/>
              </w:rPr>
            </w:pPr>
            <w:r>
              <w:rPr>
                <w:b/>
              </w:rPr>
              <w:t>Comment la personne ressource peut-elle vous aider ?</w:t>
            </w:r>
            <w:r w:rsidR="00011344">
              <w:rPr>
                <w:b/>
              </w:rPr>
              <w:t xml:space="preserve"> </w:t>
            </w:r>
            <w:r w:rsidR="00011344" w:rsidRPr="00011344">
              <w:rPr>
                <w:b/>
                <w:sz w:val="18"/>
                <w:szCs w:val="18"/>
              </w:rPr>
              <w:t>(exemples)</w:t>
            </w:r>
          </w:p>
        </w:tc>
      </w:tr>
      <w:tr w:rsidR="005C5C17" w:rsidTr="002C3C4E">
        <w:tc>
          <w:tcPr>
            <w:tcW w:w="3261" w:type="dxa"/>
            <w:vAlign w:val="center"/>
          </w:tcPr>
          <w:p w:rsidR="005C5C17" w:rsidRPr="001D3682" w:rsidRDefault="005C5C17" w:rsidP="00030788">
            <w:pPr>
              <w:jc w:val="center"/>
              <w:rPr>
                <w:b/>
              </w:rPr>
            </w:pPr>
            <w:r w:rsidRPr="001D3682">
              <w:rPr>
                <w:b/>
              </w:rPr>
              <w:t>Accueil téléphonique</w:t>
            </w:r>
          </w:p>
        </w:tc>
        <w:tc>
          <w:tcPr>
            <w:tcW w:w="2693" w:type="dxa"/>
            <w:vAlign w:val="center"/>
          </w:tcPr>
          <w:p w:rsidR="005C5C17" w:rsidRPr="001A2119" w:rsidRDefault="005C5C17" w:rsidP="00030788">
            <w:pPr>
              <w:jc w:val="center"/>
            </w:pPr>
          </w:p>
        </w:tc>
        <w:tc>
          <w:tcPr>
            <w:tcW w:w="4820" w:type="dxa"/>
            <w:vAlign w:val="center"/>
          </w:tcPr>
          <w:p w:rsidR="005C5C17" w:rsidRPr="005C5C17" w:rsidRDefault="005C5C17" w:rsidP="001D3682">
            <w:r>
              <w:t>Regard extérieur sur la façon de répondre aux appels téléphoniques – Partage de pratiques</w:t>
            </w:r>
          </w:p>
        </w:tc>
      </w:tr>
      <w:tr w:rsidR="00480098" w:rsidTr="002C3C4E">
        <w:tc>
          <w:tcPr>
            <w:tcW w:w="3261" w:type="dxa"/>
            <w:vAlign w:val="center"/>
          </w:tcPr>
          <w:p w:rsidR="00480098" w:rsidRDefault="00480098" w:rsidP="00030788">
            <w:pPr>
              <w:jc w:val="center"/>
              <w:rPr>
                <w:b/>
              </w:rPr>
            </w:pPr>
          </w:p>
          <w:p w:rsidR="00480098" w:rsidRDefault="00480098" w:rsidP="00030788">
            <w:pPr>
              <w:jc w:val="center"/>
              <w:rPr>
                <w:b/>
              </w:rPr>
            </w:pPr>
            <w:r>
              <w:rPr>
                <w:b/>
              </w:rPr>
              <w:t>Expression orale / techniques de communication</w:t>
            </w:r>
          </w:p>
          <w:p w:rsidR="00480098" w:rsidRPr="001D3682" w:rsidRDefault="00480098" w:rsidP="00030788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480098" w:rsidRPr="001A2119" w:rsidRDefault="00480098" w:rsidP="00480098">
            <w:pPr>
              <w:jc w:val="center"/>
            </w:pPr>
          </w:p>
        </w:tc>
        <w:tc>
          <w:tcPr>
            <w:tcW w:w="4820" w:type="dxa"/>
            <w:vAlign w:val="center"/>
          </w:tcPr>
          <w:p w:rsidR="00480098" w:rsidRDefault="00480098" w:rsidP="001D3682">
            <w:r>
              <w:t>Conseil sur une présentation orale à mener</w:t>
            </w:r>
          </w:p>
        </w:tc>
      </w:tr>
      <w:tr w:rsidR="007B5337" w:rsidTr="002C3C4E">
        <w:tc>
          <w:tcPr>
            <w:tcW w:w="3261" w:type="dxa"/>
            <w:vAlign w:val="center"/>
          </w:tcPr>
          <w:p w:rsidR="007B5337" w:rsidRDefault="007B5337" w:rsidP="00030788">
            <w:pPr>
              <w:jc w:val="center"/>
              <w:rPr>
                <w:b/>
              </w:rPr>
            </w:pPr>
          </w:p>
          <w:p w:rsidR="007B5337" w:rsidRDefault="007B5337" w:rsidP="00030788">
            <w:pPr>
              <w:jc w:val="center"/>
              <w:rPr>
                <w:b/>
              </w:rPr>
            </w:pPr>
            <w:r>
              <w:rPr>
                <w:b/>
              </w:rPr>
              <w:t>Management / Gestion d’équipe</w:t>
            </w:r>
          </w:p>
          <w:p w:rsidR="007B5337" w:rsidRDefault="007B5337" w:rsidP="00030788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7B5337" w:rsidRPr="001A2119" w:rsidRDefault="007B5337" w:rsidP="001A2119">
            <w:pPr>
              <w:jc w:val="center"/>
            </w:pPr>
          </w:p>
        </w:tc>
        <w:tc>
          <w:tcPr>
            <w:tcW w:w="4820" w:type="dxa"/>
            <w:vAlign w:val="center"/>
          </w:tcPr>
          <w:p w:rsidR="007B5337" w:rsidRDefault="007B5337" w:rsidP="001D3682">
            <w:r>
              <w:t>Conseils et outils divers</w:t>
            </w:r>
          </w:p>
        </w:tc>
      </w:tr>
      <w:tr w:rsidR="005C5C17" w:rsidTr="002C3C4E">
        <w:tc>
          <w:tcPr>
            <w:tcW w:w="3261" w:type="dxa"/>
            <w:vAlign w:val="center"/>
          </w:tcPr>
          <w:p w:rsidR="005C5C17" w:rsidRPr="001D3682" w:rsidRDefault="005C5C17" w:rsidP="00030788">
            <w:pPr>
              <w:jc w:val="center"/>
              <w:rPr>
                <w:b/>
              </w:rPr>
            </w:pPr>
            <w:r w:rsidRPr="001D3682">
              <w:rPr>
                <w:b/>
              </w:rPr>
              <w:t>Rédaction d’emails</w:t>
            </w:r>
          </w:p>
        </w:tc>
        <w:tc>
          <w:tcPr>
            <w:tcW w:w="2693" w:type="dxa"/>
            <w:vAlign w:val="center"/>
          </w:tcPr>
          <w:p w:rsidR="00DE163A" w:rsidRPr="001A2119" w:rsidRDefault="00DE163A" w:rsidP="00DE163A">
            <w:pPr>
              <w:jc w:val="center"/>
            </w:pPr>
          </w:p>
        </w:tc>
        <w:tc>
          <w:tcPr>
            <w:tcW w:w="4820" w:type="dxa"/>
            <w:vAlign w:val="center"/>
          </w:tcPr>
          <w:p w:rsidR="005C5C17" w:rsidRPr="005C5C17" w:rsidRDefault="005C5C17" w:rsidP="001D3682">
            <w:r>
              <w:t>Regard extérieur sur la façon de rédiger un mail (aspect « communication » – Partage de pratiques</w:t>
            </w:r>
          </w:p>
        </w:tc>
      </w:tr>
      <w:tr w:rsidR="00DE163A" w:rsidTr="002C3C4E">
        <w:tc>
          <w:tcPr>
            <w:tcW w:w="3261" w:type="dxa"/>
            <w:vAlign w:val="center"/>
          </w:tcPr>
          <w:p w:rsidR="00DE163A" w:rsidRDefault="00DE163A" w:rsidP="00030788">
            <w:pPr>
              <w:jc w:val="center"/>
              <w:rPr>
                <w:b/>
              </w:rPr>
            </w:pPr>
          </w:p>
          <w:p w:rsidR="00DE163A" w:rsidRDefault="00DE163A" w:rsidP="00030788">
            <w:pPr>
              <w:jc w:val="center"/>
              <w:rPr>
                <w:b/>
              </w:rPr>
            </w:pPr>
            <w:r>
              <w:rPr>
                <w:b/>
              </w:rPr>
              <w:t>Orthographe</w:t>
            </w:r>
          </w:p>
          <w:p w:rsidR="00DE163A" w:rsidRPr="001D3682" w:rsidRDefault="00DE163A" w:rsidP="00030788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DE163A" w:rsidRPr="001A2119" w:rsidRDefault="00DE163A" w:rsidP="001A2119"/>
        </w:tc>
        <w:tc>
          <w:tcPr>
            <w:tcW w:w="4820" w:type="dxa"/>
            <w:vAlign w:val="center"/>
          </w:tcPr>
          <w:p w:rsidR="00DE163A" w:rsidRDefault="00DE163A" w:rsidP="001D3682">
            <w:r>
              <w:t>Relecture de textes, de courriers, …</w:t>
            </w:r>
          </w:p>
        </w:tc>
      </w:tr>
      <w:tr w:rsidR="005C5C17" w:rsidTr="002C3C4E">
        <w:tc>
          <w:tcPr>
            <w:tcW w:w="3261" w:type="dxa"/>
            <w:vAlign w:val="center"/>
          </w:tcPr>
          <w:p w:rsidR="005C5C17" w:rsidRPr="001D3682" w:rsidRDefault="005C5C17" w:rsidP="00030788">
            <w:pPr>
              <w:jc w:val="center"/>
              <w:rPr>
                <w:b/>
              </w:rPr>
            </w:pPr>
            <w:r w:rsidRPr="001D3682">
              <w:rPr>
                <w:b/>
              </w:rPr>
              <w:t>Utilisation d’Outlook</w:t>
            </w:r>
          </w:p>
        </w:tc>
        <w:tc>
          <w:tcPr>
            <w:tcW w:w="2693" w:type="dxa"/>
            <w:vAlign w:val="center"/>
          </w:tcPr>
          <w:p w:rsidR="00663FD4" w:rsidRPr="001A2119" w:rsidRDefault="00663FD4" w:rsidP="00030788">
            <w:pPr>
              <w:jc w:val="center"/>
            </w:pPr>
          </w:p>
        </w:tc>
        <w:tc>
          <w:tcPr>
            <w:tcW w:w="4820" w:type="dxa"/>
            <w:vAlign w:val="center"/>
          </w:tcPr>
          <w:p w:rsidR="005C5C17" w:rsidRPr="005C5C17" w:rsidRDefault="005C5C17" w:rsidP="001D3682">
            <w:r>
              <w:t>Fonctionnalités d’Outlook – Gestion d’agenda – Partage de pratiques</w:t>
            </w:r>
          </w:p>
        </w:tc>
      </w:tr>
      <w:tr w:rsidR="005C5C17" w:rsidTr="002C3C4E">
        <w:tc>
          <w:tcPr>
            <w:tcW w:w="3261" w:type="dxa"/>
            <w:vAlign w:val="center"/>
          </w:tcPr>
          <w:p w:rsidR="00030788" w:rsidRPr="001D3682" w:rsidRDefault="00030788" w:rsidP="00030788">
            <w:pPr>
              <w:jc w:val="center"/>
              <w:rPr>
                <w:b/>
              </w:rPr>
            </w:pPr>
            <w:r w:rsidRPr="001D3682">
              <w:rPr>
                <w:b/>
              </w:rPr>
              <w:t>Connaissance des organes de consultation internes</w:t>
            </w:r>
          </w:p>
          <w:p w:rsidR="00030788" w:rsidRPr="00030788" w:rsidRDefault="00030788" w:rsidP="00030788">
            <w:pPr>
              <w:jc w:val="center"/>
              <w:rPr>
                <w:sz w:val="18"/>
                <w:szCs w:val="18"/>
              </w:rPr>
            </w:pPr>
            <w:r w:rsidRPr="00030788">
              <w:rPr>
                <w:sz w:val="18"/>
                <w:szCs w:val="18"/>
              </w:rPr>
              <w:t>CE – CPPT – Conseiller en prévention – Personne de confiance - …</w:t>
            </w:r>
          </w:p>
        </w:tc>
        <w:tc>
          <w:tcPr>
            <w:tcW w:w="2693" w:type="dxa"/>
            <w:vAlign w:val="center"/>
          </w:tcPr>
          <w:p w:rsidR="005C5C17" w:rsidRPr="001A2119" w:rsidRDefault="005C5C17" w:rsidP="00A805A9">
            <w:pPr>
              <w:jc w:val="center"/>
            </w:pPr>
          </w:p>
        </w:tc>
        <w:tc>
          <w:tcPr>
            <w:tcW w:w="4820" w:type="dxa"/>
            <w:vAlign w:val="center"/>
          </w:tcPr>
          <w:p w:rsidR="005C5C17" w:rsidRPr="005C5C17" w:rsidRDefault="00030788" w:rsidP="003E27BA">
            <w:r>
              <w:t xml:space="preserve">Quel organe consulter et </w:t>
            </w:r>
            <w:r w:rsidR="001D3682">
              <w:t>à</w:t>
            </w:r>
            <w:r>
              <w:t xml:space="preserve"> quels sujets ?</w:t>
            </w:r>
            <w:r w:rsidR="001D3682">
              <w:t xml:space="preserve">  Comment s’organisent les élections sociales ?</w:t>
            </w:r>
          </w:p>
        </w:tc>
      </w:tr>
      <w:tr w:rsidR="005C5C17" w:rsidTr="002C3C4E">
        <w:tc>
          <w:tcPr>
            <w:tcW w:w="3261" w:type="dxa"/>
            <w:vAlign w:val="center"/>
          </w:tcPr>
          <w:p w:rsidR="005C5C17" w:rsidRPr="001D3682" w:rsidRDefault="001D3682" w:rsidP="001D3682">
            <w:pPr>
              <w:jc w:val="center"/>
              <w:rPr>
                <w:b/>
              </w:rPr>
            </w:pPr>
            <w:r>
              <w:rPr>
                <w:b/>
              </w:rPr>
              <w:t>Gestion de projet</w:t>
            </w:r>
          </w:p>
        </w:tc>
        <w:tc>
          <w:tcPr>
            <w:tcW w:w="2693" w:type="dxa"/>
            <w:vAlign w:val="center"/>
          </w:tcPr>
          <w:p w:rsidR="003E27BA" w:rsidRPr="001A2119" w:rsidRDefault="003E27BA" w:rsidP="001D3682">
            <w:pPr>
              <w:jc w:val="center"/>
            </w:pPr>
          </w:p>
        </w:tc>
        <w:tc>
          <w:tcPr>
            <w:tcW w:w="4820" w:type="dxa"/>
            <w:vAlign w:val="center"/>
          </w:tcPr>
          <w:p w:rsidR="005C5C17" w:rsidRPr="005C5C17" w:rsidRDefault="003E27BA" w:rsidP="003E27BA">
            <w:r>
              <w:t>Partage d’outils et de pratiques</w:t>
            </w:r>
          </w:p>
        </w:tc>
      </w:tr>
      <w:tr w:rsidR="005C5C17" w:rsidTr="002C3C4E">
        <w:tc>
          <w:tcPr>
            <w:tcW w:w="3261" w:type="dxa"/>
            <w:vAlign w:val="center"/>
          </w:tcPr>
          <w:p w:rsidR="005C5C17" w:rsidRPr="00011344" w:rsidRDefault="00011344" w:rsidP="001D3682">
            <w:pPr>
              <w:jc w:val="center"/>
              <w:rPr>
                <w:b/>
              </w:rPr>
            </w:pPr>
            <w:r w:rsidRPr="00011344">
              <w:rPr>
                <w:b/>
              </w:rPr>
              <w:t>Transfert des acquis</w:t>
            </w:r>
          </w:p>
        </w:tc>
        <w:tc>
          <w:tcPr>
            <w:tcW w:w="2693" w:type="dxa"/>
            <w:vAlign w:val="center"/>
          </w:tcPr>
          <w:p w:rsidR="005C5C17" w:rsidRPr="001A2119" w:rsidRDefault="005C5C17" w:rsidP="001A2119"/>
        </w:tc>
        <w:tc>
          <w:tcPr>
            <w:tcW w:w="4820" w:type="dxa"/>
            <w:vAlign w:val="center"/>
          </w:tcPr>
          <w:p w:rsidR="005C5C17" w:rsidRPr="005C5C17" w:rsidRDefault="00011344" w:rsidP="003E27BA">
            <w:r>
              <w:t>Comment transférer vos acquis de formation dans votre travail ?</w:t>
            </w:r>
          </w:p>
        </w:tc>
      </w:tr>
      <w:tr w:rsidR="005C5C17" w:rsidTr="002C3C4E">
        <w:tc>
          <w:tcPr>
            <w:tcW w:w="3261" w:type="dxa"/>
            <w:vAlign w:val="center"/>
          </w:tcPr>
          <w:p w:rsidR="005C5C17" w:rsidRDefault="00011344" w:rsidP="001D3682">
            <w:pPr>
              <w:jc w:val="center"/>
            </w:pPr>
            <w:r>
              <w:rPr>
                <w:b/>
              </w:rPr>
              <w:t>Connaissance des organes externes</w:t>
            </w:r>
          </w:p>
          <w:p w:rsidR="00011344" w:rsidRPr="00011344" w:rsidRDefault="00011344" w:rsidP="001D3682">
            <w:pPr>
              <w:jc w:val="center"/>
              <w:rPr>
                <w:sz w:val="18"/>
                <w:szCs w:val="18"/>
              </w:rPr>
            </w:pPr>
            <w:r w:rsidRPr="00011344">
              <w:rPr>
                <w:sz w:val="18"/>
                <w:szCs w:val="18"/>
              </w:rPr>
              <w:t>CP – CNT – Gouvernement - …</w:t>
            </w:r>
          </w:p>
        </w:tc>
        <w:tc>
          <w:tcPr>
            <w:tcW w:w="2693" w:type="dxa"/>
            <w:vAlign w:val="center"/>
          </w:tcPr>
          <w:p w:rsidR="005C5C17" w:rsidRPr="001A2119" w:rsidRDefault="005C5C17" w:rsidP="001D3682">
            <w:pPr>
              <w:jc w:val="center"/>
            </w:pPr>
          </w:p>
        </w:tc>
        <w:tc>
          <w:tcPr>
            <w:tcW w:w="4820" w:type="dxa"/>
            <w:vAlign w:val="center"/>
          </w:tcPr>
          <w:p w:rsidR="005C5C17" w:rsidRPr="005C5C17" w:rsidRDefault="00011344" w:rsidP="00011344">
            <w:r>
              <w:t>Quelle instance décide de quoi ?</w:t>
            </w:r>
          </w:p>
        </w:tc>
      </w:tr>
      <w:tr w:rsidR="00011344" w:rsidTr="002C3C4E">
        <w:tc>
          <w:tcPr>
            <w:tcW w:w="3261" w:type="dxa"/>
            <w:vAlign w:val="center"/>
          </w:tcPr>
          <w:p w:rsidR="00011344" w:rsidRPr="00011344" w:rsidRDefault="00011344" w:rsidP="001D3682">
            <w:pPr>
              <w:jc w:val="center"/>
              <w:rPr>
                <w:b/>
              </w:rPr>
            </w:pPr>
            <w:r>
              <w:rPr>
                <w:b/>
              </w:rPr>
              <w:t>Connaissance de la législation sur les marchés publics</w:t>
            </w:r>
          </w:p>
        </w:tc>
        <w:tc>
          <w:tcPr>
            <w:tcW w:w="2693" w:type="dxa"/>
            <w:vAlign w:val="center"/>
          </w:tcPr>
          <w:p w:rsidR="00011344" w:rsidRPr="001A2119" w:rsidRDefault="00011344" w:rsidP="001D3682">
            <w:pPr>
              <w:jc w:val="center"/>
            </w:pPr>
          </w:p>
        </w:tc>
        <w:tc>
          <w:tcPr>
            <w:tcW w:w="4820" w:type="dxa"/>
            <w:vAlign w:val="center"/>
          </w:tcPr>
          <w:p w:rsidR="00011344" w:rsidRDefault="00011344" w:rsidP="00011344">
            <w:r>
              <w:t>Partage de pratiques et conseils – Regard extérieur sur la mise en place de vos marchés publics</w:t>
            </w:r>
          </w:p>
        </w:tc>
      </w:tr>
      <w:tr w:rsidR="00011344" w:rsidTr="002C3C4E">
        <w:tc>
          <w:tcPr>
            <w:tcW w:w="3261" w:type="dxa"/>
            <w:vAlign w:val="center"/>
          </w:tcPr>
          <w:p w:rsidR="00011344" w:rsidRDefault="00011344" w:rsidP="001D3682">
            <w:pPr>
              <w:jc w:val="center"/>
              <w:rPr>
                <w:b/>
              </w:rPr>
            </w:pPr>
            <w:r>
              <w:rPr>
                <w:b/>
              </w:rPr>
              <w:t>Connaissance des procédures internes</w:t>
            </w:r>
          </w:p>
        </w:tc>
        <w:tc>
          <w:tcPr>
            <w:tcW w:w="2693" w:type="dxa"/>
            <w:vAlign w:val="center"/>
          </w:tcPr>
          <w:p w:rsidR="00011344" w:rsidRPr="001A2119" w:rsidRDefault="00011344" w:rsidP="001D3682">
            <w:pPr>
              <w:jc w:val="center"/>
            </w:pPr>
          </w:p>
        </w:tc>
        <w:tc>
          <w:tcPr>
            <w:tcW w:w="4820" w:type="dxa"/>
            <w:vAlign w:val="center"/>
          </w:tcPr>
          <w:p w:rsidR="00011344" w:rsidRDefault="00011344" w:rsidP="00011344">
            <w:r>
              <w:t>Partage des procédures existantes</w:t>
            </w:r>
          </w:p>
        </w:tc>
      </w:tr>
      <w:tr w:rsidR="00011344" w:rsidTr="002C3C4E">
        <w:tc>
          <w:tcPr>
            <w:tcW w:w="3261" w:type="dxa"/>
            <w:vAlign w:val="center"/>
          </w:tcPr>
          <w:p w:rsidR="00011344" w:rsidRDefault="00011344" w:rsidP="001D3682">
            <w:pPr>
              <w:jc w:val="center"/>
              <w:rPr>
                <w:b/>
              </w:rPr>
            </w:pPr>
            <w:r>
              <w:rPr>
                <w:b/>
              </w:rPr>
              <w:t>Veille sectorielle</w:t>
            </w:r>
          </w:p>
        </w:tc>
        <w:tc>
          <w:tcPr>
            <w:tcW w:w="2693" w:type="dxa"/>
            <w:vAlign w:val="center"/>
          </w:tcPr>
          <w:p w:rsidR="00A805A9" w:rsidRPr="001A2119" w:rsidRDefault="00A805A9" w:rsidP="001D3682">
            <w:pPr>
              <w:jc w:val="center"/>
            </w:pPr>
          </w:p>
        </w:tc>
        <w:tc>
          <w:tcPr>
            <w:tcW w:w="4820" w:type="dxa"/>
            <w:vAlign w:val="center"/>
          </w:tcPr>
          <w:p w:rsidR="00011344" w:rsidRDefault="00011344" w:rsidP="00011344">
            <w:r>
              <w:t>Comment s’assurer d’avoir connaissance de modifications légales ?</w:t>
            </w:r>
          </w:p>
        </w:tc>
      </w:tr>
      <w:tr w:rsidR="00011344" w:rsidTr="002C3C4E">
        <w:tc>
          <w:tcPr>
            <w:tcW w:w="3261" w:type="dxa"/>
            <w:vAlign w:val="center"/>
          </w:tcPr>
          <w:p w:rsidR="00011344" w:rsidRDefault="00946B2B" w:rsidP="001D3682">
            <w:pPr>
              <w:jc w:val="center"/>
              <w:rPr>
                <w:b/>
              </w:rPr>
            </w:pPr>
            <w:r>
              <w:rPr>
                <w:b/>
              </w:rPr>
              <w:t>Optimisation des processus</w:t>
            </w:r>
          </w:p>
        </w:tc>
        <w:tc>
          <w:tcPr>
            <w:tcW w:w="2693" w:type="dxa"/>
            <w:vAlign w:val="center"/>
          </w:tcPr>
          <w:p w:rsidR="00011344" w:rsidRPr="001A2119" w:rsidRDefault="00011344" w:rsidP="001D3682">
            <w:pPr>
              <w:jc w:val="center"/>
            </w:pPr>
          </w:p>
        </w:tc>
        <w:tc>
          <w:tcPr>
            <w:tcW w:w="4820" w:type="dxa"/>
            <w:vAlign w:val="center"/>
          </w:tcPr>
          <w:p w:rsidR="00011344" w:rsidRDefault="00946B2B" w:rsidP="00011344">
            <w:r>
              <w:t>Regard extérieur sur vos procédures, vos processus</w:t>
            </w:r>
          </w:p>
        </w:tc>
      </w:tr>
      <w:tr w:rsidR="00C412F3" w:rsidTr="002C3C4E">
        <w:tc>
          <w:tcPr>
            <w:tcW w:w="3261" w:type="dxa"/>
            <w:vAlign w:val="center"/>
          </w:tcPr>
          <w:p w:rsidR="00C412F3" w:rsidRDefault="00C412F3" w:rsidP="001D3682">
            <w:pPr>
              <w:jc w:val="center"/>
              <w:rPr>
                <w:b/>
              </w:rPr>
            </w:pPr>
          </w:p>
          <w:p w:rsidR="00C412F3" w:rsidRDefault="00C412F3" w:rsidP="00C412F3">
            <w:pPr>
              <w:jc w:val="center"/>
              <w:rPr>
                <w:b/>
              </w:rPr>
            </w:pPr>
            <w:r>
              <w:rPr>
                <w:b/>
              </w:rPr>
              <w:t>Gérer son bien-être au travail</w:t>
            </w:r>
            <w:r>
              <w:rPr>
                <w:b/>
              </w:rPr>
              <w:br/>
            </w:r>
          </w:p>
        </w:tc>
        <w:tc>
          <w:tcPr>
            <w:tcW w:w="2693" w:type="dxa"/>
            <w:vAlign w:val="center"/>
          </w:tcPr>
          <w:p w:rsidR="00C412F3" w:rsidRPr="001A2119" w:rsidRDefault="00C412F3" w:rsidP="001D3682">
            <w:pPr>
              <w:jc w:val="center"/>
            </w:pPr>
          </w:p>
        </w:tc>
        <w:tc>
          <w:tcPr>
            <w:tcW w:w="4820" w:type="dxa"/>
            <w:vAlign w:val="center"/>
          </w:tcPr>
          <w:p w:rsidR="00C412F3" w:rsidRDefault="00C412F3" w:rsidP="00011344"/>
        </w:tc>
      </w:tr>
      <w:tr w:rsidR="002C3C4E" w:rsidTr="002C3C4E">
        <w:tc>
          <w:tcPr>
            <w:tcW w:w="3261" w:type="dxa"/>
            <w:vAlign w:val="center"/>
          </w:tcPr>
          <w:p w:rsidR="002C3C4E" w:rsidRDefault="002C3C4E" w:rsidP="001D3682">
            <w:pPr>
              <w:jc w:val="center"/>
              <w:rPr>
                <w:b/>
              </w:rPr>
            </w:pPr>
            <w:r>
              <w:rPr>
                <w:b/>
              </w:rPr>
              <w:t>Droits d’auteur</w:t>
            </w:r>
          </w:p>
        </w:tc>
        <w:tc>
          <w:tcPr>
            <w:tcW w:w="2693" w:type="dxa"/>
            <w:vAlign w:val="center"/>
          </w:tcPr>
          <w:p w:rsidR="002C3C4E" w:rsidRPr="001A2119" w:rsidRDefault="002C3C4E" w:rsidP="001A2119">
            <w:pPr>
              <w:jc w:val="center"/>
            </w:pPr>
            <w:r w:rsidRPr="001A2119">
              <w:br/>
            </w:r>
            <w:r w:rsidRPr="001A2119">
              <w:br/>
            </w:r>
          </w:p>
        </w:tc>
        <w:tc>
          <w:tcPr>
            <w:tcW w:w="4820" w:type="dxa"/>
            <w:vAlign w:val="center"/>
          </w:tcPr>
          <w:p w:rsidR="002C3C4E" w:rsidRDefault="002C3C4E" w:rsidP="002C3C4E">
            <w:r>
              <w:t>Vous créez un document intégrant des citations, des images, des vidéos ?  Elles sont peut-être soumises aux droits d’auteur.</w:t>
            </w:r>
          </w:p>
        </w:tc>
      </w:tr>
    </w:tbl>
    <w:p w:rsidR="00622169" w:rsidRDefault="00622169"/>
    <w:sectPr w:rsidR="00622169" w:rsidSect="00C412F3">
      <w:headerReference w:type="default" r:id="rId9"/>
      <w:footerReference w:type="default" r:id="rId10"/>
      <w:pgSz w:w="11906" w:h="16838"/>
      <w:pgMar w:top="426" w:right="1417" w:bottom="1417" w:left="1417" w:header="419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9D" w:rsidRDefault="008B169D" w:rsidP="00E622B4">
      <w:pPr>
        <w:spacing w:after="0" w:line="240" w:lineRule="auto"/>
      </w:pPr>
      <w:r>
        <w:separator/>
      </w:r>
    </w:p>
  </w:endnote>
  <w:endnote w:type="continuationSeparator" w:id="0">
    <w:p w:rsidR="008B169D" w:rsidRDefault="008B169D" w:rsidP="00E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E622B4" w:rsidTr="002D25A9">
      <w:tc>
        <w:tcPr>
          <w:tcW w:w="918" w:type="dxa"/>
          <w:vAlign w:val="bottom"/>
        </w:tcPr>
        <w:p w:rsidR="00E622B4" w:rsidRDefault="00E622B4" w:rsidP="002D25A9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F41A74"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F41A7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F41A74"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93218D" w:rsidRPr="0093218D">
            <w:rPr>
              <w:b/>
              <w:bCs/>
              <w:noProof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F41A74">
            <w:rPr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E622B4" w:rsidRDefault="00E622B4" w:rsidP="00F41A74">
          <w:pPr>
            <w:pStyle w:val="Pieddepage"/>
            <w:tabs>
              <w:tab w:val="left" w:pos="393"/>
              <w:tab w:val="right" w:pos="8109"/>
            </w:tabs>
          </w:pPr>
          <w:r>
            <w:tab/>
          </w:r>
          <w:r>
            <w:tab/>
          </w:r>
          <w:r>
            <w:tab/>
          </w:r>
        </w:p>
      </w:tc>
    </w:tr>
  </w:tbl>
  <w:p w:rsidR="00E622B4" w:rsidRDefault="00D43EC5" w:rsidP="00F41A74">
    <w:pPr>
      <w:pStyle w:val="Pieddepage"/>
      <w:tabs>
        <w:tab w:val="clear" w:pos="4536"/>
        <w:tab w:val="clear" w:pos="9072"/>
        <w:tab w:val="left" w:pos="6115"/>
      </w:tabs>
    </w:pPr>
    <w:r>
      <w:tab/>
    </w:r>
    <w:r>
      <w:tab/>
      <w:t>Plan de Formation 2015-2017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9D" w:rsidRDefault="008B169D" w:rsidP="00E622B4">
      <w:pPr>
        <w:spacing w:after="0" w:line="240" w:lineRule="auto"/>
      </w:pPr>
      <w:r>
        <w:separator/>
      </w:r>
    </w:p>
  </w:footnote>
  <w:footnote w:type="continuationSeparator" w:id="0">
    <w:p w:rsidR="008B169D" w:rsidRDefault="008B169D" w:rsidP="00E622B4">
      <w:pPr>
        <w:spacing w:after="0" w:line="240" w:lineRule="auto"/>
      </w:pPr>
      <w:r>
        <w:continuationSeparator/>
      </w:r>
    </w:p>
  </w:footnote>
  <w:footnote w:id="1">
    <w:p w:rsidR="005C5C17" w:rsidRDefault="005C5C17">
      <w:pPr>
        <w:pStyle w:val="Notedebasdepage"/>
      </w:pPr>
      <w:r>
        <w:rPr>
          <w:rStyle w:val="Appelnotedebasdep"/>
        </w:rPr>
        <w:footnoteRef/>
      </w:r>
      <w:r>
        <w:t xml:space="preserve"> Ayez conscience de l’emploi du temps de la personne que vous contactez, et comprenez que celle-ci ne sera peut-être pas en mesure de vous répondre dans la journée 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B4" w:rsidRDefault="00E622B4" w:rsidP="002D25A9">
    <w:pPr>
      <w:pStyle w:val="En-tte"/>
      <w:jc w:val="right"/>
    </w:pPr>
    <w:r>
      <w:rPr>
        <w:noProof/>
        <w:lang w:eastAsia="fr-BE"/>
      </w:rPr>
      <w:drawing>
        <wp:inline distT="0" distB="0" distL="0" distR="0" wp14:anchorId="10ACEFA7" wp14:editId="5572A0EC">
          <wp:extent cx="644236" cy="588643"/>
          <wp:effectExtent l="0" t="0" r="3810" b="254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146" cy="59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22B4" w:rsidRDefault="00E622B4" w:rsidP="002D25A9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27D"/>
    <w:multiLevelType w:val="hybridMultilevel"/>
    <w:tmpl w:val="7E2240C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90B12"/>
    <w:multiLevelType w:val="hybridMultilevel"/>
    <w:tmpl w:val="26FE6B9A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9A0E6C"/>
    <w:multiLevelType w:val="hybridMultilevel"/>
    <w:tmpl w:val="81841D1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76463"/>
    <w:multiLevelType w:val="hybridMultilevel"/>
    <w:tmpl w:val="EECA4B6C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D17FD6"/>
    <w:multiLevelType w:val="hybridMultilevel"/>
    <w:tmpl w:val="A4C222D0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152351"/>
    <w:multiLevelType w:val="hybridMultilevel"/>
    <w:tmpl w:val="4D648616"/>
    <w:lvl w:ilvl="0" w:tplc="0D8279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21693"/>
    <w:multiLevelType w:val="hybridMultilevel"/>
    <w:tmpl w:val="BDCA7038"/>
    <w:lvl w:ilvl="0" w:tplc="09EE2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11577"/>
    <w:multiLevelType w:val="hybridMultilevel"/>
    <w:tmpl w:val="21A41300"/>
    <w:lvl w:ilvl="0" w:tplc="3F027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17678"/>
    <w:multiLevelType w:val="hybridMultilevel"/>
    <w:tmpl w:val="E9DC42C4"/>
    <w:lvl w:ilvl="0" w:tplc="F0DE3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C159D"/>
    <w:multiLevelType w:val="hybridMultilevel"/>
    <w:tmpl w:val="DE1A2394"/>
    <w:lvl w:ilvl="0" w:tplc="32E273BE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D3F5C45"/>
    <w:multiLevelType w:val="hybridMultilevel"/>
    <w:tmpl w:val="37226A28"/>
    <w:lvl w:ilvl="0" w:tplc="B45492C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9607F2"/>
    <w:multiLevelType w:val="hybridMultilevel"/>
    <w:tmpl w:val="A4C0F3C0"/>
    <w:lvl w:ilvl="0" w:tplc="B45492C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F45DDB"/>
    <w:multiLevelType w:val="hybridMultilevel"/>
    <w:tmpl w:val="23F4D512"/>
    <w:lvl w:ilvl="0" w:tplc="01DA5C94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B4"/>
    <w:rsid w:val="00011344"/>
    <w:rsid w:val="00030788"/>
    <w:rsid w:val="00194E1D"/>
    <w:rsid w:val="001A2119"/>
    <w:rsid w:val="001D3682"/>
    <w:rsid w:val="002B1CE8"/>
    <w:rsid w:val="002C3C4E"/>
    <w:rsid w:val="003346E7"/>
    <w:rsid w:val="003D1FF1"/>
    <w:rsid w:val="003E27BA"/>
    <w:rsid w:val="00480098"/>
    <w:rsid w:val="004A01B0"/>
    <w:rsid w:val="004A60BE"/>
    <w:rsid w:val="004D4E34"/>
    <w:rsid w:val="00582655"/>
    <w:rsid w:val="005C5C17"/>
    <w:rsid w:val="00622169"/>
    <w:rsid w:val="00646BC5"/>
    <w:rsid w:val="00663FD4"/>
    <w:rsid w:val="007B5337"/>
    <w:rsid w:val="008943E8"/>
    <w:rsid w:val="008B169D"/>
    <w:rsid w:val="008D78E5"/>
    <w:rsid w:val="0093218D"/>
    <w:rsid w:val="009416BC"/>
    <w:rsid w:val="00946B2B"/>
    <w:rsid w:val="009A2795"/>
    <w:rsid w:val="009B1957"/>
    <w:rsid w:val="009C0BC0"/>
    <w:rsid w:val="00A805A9"/>
    <w:rsid w:val="00A848B5"/>
    <w:rsid w:val="00C00035"/>
    <w:rsid w:val="00C412F3"/>
    <w:rsid w:val="00D43EC5"/>
    <w:rsid w:val="00DE163A"/>
    <w:rsid w:val="00E622B4"/>
    <w:rsid w:val="00EC495D"/>
    <w:rsid w:val="00F1331B"/>
    <w:rsid w:val="00F15518"/>
    <w:rsid w:val="00F708FD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2B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622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622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E62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2B4"/>
  </w:style>
  <w:style w:type="paragraph" w:styleId="Pieddepage">
    <w:name w:val="footer"/>
    <w:basedOn w:val="Normal"/>
    <w:link w:val="PieddepageCar"/>
    <w:uiPriority w:val="99"/>
    <w:unhideWhenUsed/>
    <w:rsid w:val="00E62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2B4"/>
  </w:style>
  <w:style w:type="character" w:styleId="Lienhypertexte">
    <w:name w:val="Hyperlink"/>
    <w:basedOn w:val="Policepardfaut"/>
    <w:uiPriority w:val="99"/>
    <w:unhideWhenUsed/>
    <w:rsid w:val="00E622B4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22B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22B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622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22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2B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A01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01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01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01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01B0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5C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1-Accent2">
    <w:name w:val="Medium List 1 Accent 2"/>
    <w:basedOn w:val="TableauNormal"/>
    <w:uiPriority w:val="65"/>
    <w:rsid w:val="005C5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2B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622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622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E62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2B4"/>
  </w:style>
  <w:style w:type="paragraph" w:styleId="Pieddepage">
    <w:name w:val="footer"/>
    <w:basedOn w:val="Normal"/>
    <w:link w:val="PieddepageCar"/>
    <w:uiPriority w:val="99"/>
    <w:unhideWhenUsed/>
    <w:rsid w:val="00E62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2B4"/>
  </w:style>
  <w:style w:type="character" w:styleId="Lienhypertexte">
    <w:name w:val="Hyperlink"/>
    <w:basedOn w:val="Policepardfaut"/>
    <w:uiPriority w:val="99"/>
    <w:unhideWhenUsed/>
    <w:rsid w:val="00E622B4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22B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22B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622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22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2B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A01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01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01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01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01B0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5C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1-Accent2">
    <w:name w:val="Medium List 1 Accent 2"/>
    <w:basedOn w:val="TableauNormal"/>
    <w:uiPriority w:val="65"/>
    <w:rsid w:val="005C5C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0581-CF61-45AE-B0FA-FF65C01F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François-Xavier Lefebvre</cp:lastModifiedBy>
  <cp:revision>5</cp:revision>
  <cp:lastPrinted>2016-01-13T06:48:00Z</cp:lastPrinted>
  <dcterms:created xsi:type="dcterms:W3CDTF">2016-02-03T15:39:00Z</dcterms:created>
  <dcterms:modified xsi:type="dcterms:W3CDTF">2016-03-02T09:36:00Z</dcterms:modified>
</cp:coreProperties>
</file>